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376D49" w14:textId="60EA48D9" w:rsidR="00984DA6" w:rsidRDefault="0074588C">
      <w:r>
        <w:t>2024-0</w:t>
      </w:r>
      <w:r w:rsidR="00B106C9">
        <w:t>3-14 (ny version)</w:t>
      </w:r>
    </w:p>
    <w:p w14:paraId="4A75B31A" w14:textId="6D0C798B" w:rsidR="0074588C" w:rsidRDefault="0074588C">
      <w:r>
        <w:t>Johan Hirschfeldt</w:t>
      </w:r>
    </w:p>
    <w:p w14:paraId="145D888F" w14:textId="77777777" w:rsidR="0074588C" w:rsidRDefault="0074588C"/>
    <w:p w14:paraId="08BCDDBB" w14:textId="77777777" w:rsidR="0074588C" w:rsidRDefault="0074588C"/>
    <w:p w14:paraId="35A1C75B" w14:textId="48383E58" w:rsidR="0074588C" w:rsidRDefault="0074588C">
      <w:r>
        <w:t>PM till Tegnérs brev till Leopold</w:t>
      </w:r>
    </w:p>
    <w:p w14:paraId="4EEE1276" w14:textId="77777777" w:rsidR="0074588C" w:rsidRDefault="0074588C"/>
    <w:p w14:paraId="2AC77758" w14:textId="5894274F" w:rsidR="0074588C" w:rsidRDefault="0074588C">
      <w:r>
        <w:t xml:space="preserve">Tegnér skriver 1816 till Leopold och föreslår ett projekt med en ny ”periodisk skrift”, ungefär efter samma plan som </w:t>
      </w:r>
      <w:r w:rsidRPr="00343A39">
        <w:rPr>
          <w:i/>
          <w:iCs/>
        </w:rPr>
        <w:t>Läsning i Blandade Ämnen</w:t>
      </w:r>
      <w:r>
        <w:t xml:space="preserve"> och gärna med samma titel. Tegnér skriver om ett tänkt innehåll: ”Dessutom en stående artikel för Svensk Litteratur, den jag önskar så utförlig som möjligt. Ty så länge </w:t>
      </w:r>
      <w:proofErr w:type="spellStart"/>
      <w:r>
        <w:t>Critikens</w:t>
      </w:r>
      <w:proofErr w:type="spellEnd"/>
      <w:r>
        <w:t xml:space="preserve"> spira är ensamt i Pretendentens hand, kan den lagliga kungamakten ingen ting göra.”</w:t>
      </w:r>
    </w:p>
    <w:p w14:paraId="2D7E648A" w14:textId="77777777" w:rsidR="0074588C" w:rsidRDefault="0074588C"/>
    <w:p w14:paraId="1183D346" w14:textId="47F5DE3E" w:rsidR="0074588C" w:rsidRDefault="0074588C">
      <w:r>
        <w:t>Hur ska detta förstås?</w:t>
      </w:r>
    </w:p>
    <w:p w14:paraId="2B2602C1" w14:textId="77777777" w:rsidR="0074588C" w:rsidRDefault="0074588C"/>
    <w:p w14:paraId="5149A487" w14:textId="3147B6DE" w:rsidR="00FF6E45" w:rsidRDefault="0074588C">
      <w:r>
        <w:t xml:space="preserve">Först något om rättsreglerna </w:t>
      </w:r>
      <w:r w:rsidR="00FF6E45">
        <w:t xml:space="preserve">om tryckfriheten, särskilt </w:t>
      </w:r>
      <w:r>
        <w:t xml:space="preserve">kring periodiska skrifter. </w:t>
      </w:r>
    </w:p>
    <w:p w14:paraId="6CA3512D" w14:textId="77777777" w:rsidR="00FF6E45" w:rsidRDefault="00FF6E45"/>
    <w:p w14:paraId="25C14CB4" w14:textId="45AFB47F" w:rsidR="00FF6E45" w:rsidRDefault="00FF6E45">
      <w:r>
        <w:t>B</w:t>
      </w:r>
      <w:r w:rsidR="0074588C">
        <w:t>egrepp</w:t>
      </w:r>
      <w:r>
        <w:t>et periodisk skrift</w:t>
      </w:r>
      <w:r w:rsidR="0074588C">
        <w:t xml:space="preserve"> inför</w:t>
      </w:r>
      <w:r>
        <w:t>de</w:t>
      </w:r>
      <w:r w:rsidR="0074588C">
        <w:t>s i 1810 års tryckfrihetsförordning (TF)</w:t>
      </w:r>
      <w:r>
        <w:t>,</w:t>
      </w:r>
      <w:r w:rsidR="00815AB4">
        <w:t xml:space="preserve"> som följde på en </w:t>
      </w:r>
      <w:r w:rsidR="005D69AC">
        <w:t xml:space="preserve">ny </w:t>
      </w:r>
      <w:proofErr w:type="spellStart"/>
      <w:r w:rsidR="005D69AC">
        <w:t>allmän</w:t>
      </w:r>
      <w:r w:rsidR="00B106C9">
        <w:t>och</w:t>
      </w:r>
      <w:proofErr w:type="spellEnd"/>
      <w:r w:rsidR="00B106C9">
        <w:t xml:space="preserve"> kort</w:t>
      </w:r>
      <w:r w:rsidR="005D69AC">
        <w:t xml:space="preserve"> </w:t>
      </w:r>
      <w:r w:rsidR="00815AB4">
        <w:t xml:space="preserve">paragraf om tryckfrihet i 1809 års regeringsform. </w:t>
      </w:r>
      <w:r w:rsidR="0074588C">
        <w:t>Leopold</w:t>
      </w:r>
      <w:r w:rsidR="00815AB4">
        <w:t xml:space="preserve"> hade stor betydelse</w:t>
      </w:r>
      <w:r w:rsidR="005D69AC">
        <w:t xml:space="preserve"> i arbetet inför </w:t>
      </w:r>
      <w:r>
        <w:t xml:space="preserve">hela </w:t>
      </w:r>
      <w:r w:rsidR="005D69AC">
        <w:t>denna reform</w:t>
      </w:r>
      <w:r>
        <w:t xml:space="preserve"> bl.a. genom sin medverkan i </w:t>
      </w:r>
      <w:r w:rsidRPr="00343A39">
        <w:rPr>
          <w:i/>
          <w:iCs/>
        </w:rPr>
        <w:t>Läsning i Blandade Ämnen</w:t>
      </w:r>
      <w:r w:rsidR="0074588C">
        <w:t>.</w:t>
      </w:r>
      <w:r w:rsidR="005D69AC">
        <w:rPr>
          <w:rStyle w:val="Fotnotsreferens"/>
        </w:rPr>
        <w:footnoteReference w:id="1"/>
      </w:r>
      <w:r w:rsidR="0074588C">
        <w:t xml:space="preserve"> </w:t>
      </w:r>
    </w:p>
    <w:p w14:paraId="6E9AC94B" w14:textId="77777777" w:rsidR="00FF6E45" w:rsidRDefault="00FF6E45"/>
    <w:p w14:paraId="20968B26" w14:textId="4C2291A7" w:rsidR="00FF6E45" w:rsidRDefault="0074588C">
      <w:r>
        <w:t xml:space="preserve">Den ansvarsreglering som infördes </w:t>
      </w:r>
      <w:r w:rsidR="00FF6E45">
        <w:t xml:space="preserve">1810 </w:t>
      </w:r>
      <w:r>
        <w:t>hade en föregångare i den anonymitetsrätt som fanns i 1766 års TF.</w:t>
      </w:r>
      <w:r w:rsidR="00815AB4">
        <w:t xml:space="preserve"> Där </w:t>
      </w:r>
      <w:r w:rsidR="00FF6E45">
        <w:t>hade</w:t>
      </w:r>
      <w:r w:rsidR="00815AB4">
        <w:t xml:space="preserve"> ansvaret för en tryckt skrift </w:t>
      </w:r>
      <w:r w:rsidR="00FF6E45">
        <w:t xml:space="preserve">lagts </w:t>
      </w:r>
      <w:r w:rsidR="00815AB4">
        <w:t>på författaren och boktryckaren gemensamt. Fanns ingen författare angiven fick boktryckaren bära hela ansvaret.</w:t>
      </w:r>
      <w:r w:rsidR="00815AB4">
        <w:rPr>
          <w:rStyle w:val="Fotnotsreferens"/>
        </w:rPr>
        <w:footnoteReference w:id="2"/>
      </w:r>
      <w:r w:rsidR="005D69AC">
        <w:t xml:space="preserve"> </w:t>
      </w:r>
      <w:r w:rsidR="00386CD6">
        <w:t>Boktryckaren kunde dock gå fri om författarens namn sattes ut eller om författaren ville vara anonym</w:t>
      </w:r>
      <w:r w:rsidR="00343A39">
        <w:t xml:space="preserve"> och</w:t>
      </w:r>
      <w:r w:rsidR="00386CD6">
        <w:t xml:space="preserve"> boktryckaren hade en namnsedel från författaren.</w:t>
      </w:r>
      <w:r w:rsidR="00386CD6">
        <w:rPr>
          <w:rStyle w:val="Fotnotsreferens"/>
        </w:rPr>
        <w:footnoteReference w:id="3"/>
      </w:r>
    </w:p>
    <w:p w14:paraId="1C9C0410" w14:textId="77777777" w:rsidR="00FF6E45" w:rsidRDefault="00FF6E45"/>
    <w:p w14:paraId="14FCC740" w14:textId="76EF9B70" w:rsidR="00343A39" w:rsidRDefault="005D69AC">
      <w:r>
        <w:t>I 1810 års T</w:t>
      </w:r>
      <w:r w:rsidR="00FF6E45">
        <w:t>F, med ställning som grundlag,</w:t>
      </w:r>
      <w:r>
        <w:t xml:space="preserve"> infördes en regel, som än idag </w:t>
      </w:r>
      <w:r w:rsidR="00B106C9">
        <w:t>finns i gällande tryckfrihetsförordning</w:t>
      </w:r>
      <w:r>
        <w:t>, nämligen att utgivaren av en periodisk skrift ha</w:t>
      </w:r>
      <w:r w:rsidR="00FF6E45">
        <w:t>r</w:t>
      </w:r>
      <w:r>
        <w:t xml:space="preserve"> ensamansvar.</w:t>
      </w:r>
      <w:r w:rsidR="00FF6E45">
        <w:t xml:space="preserve"> På så sätt stärkte</w:t>
      </w:r>
      <w:r w:rsidR="00B106C9">
        <w:t>s</w:t>
      </w:r>
      <w:r w:rsidR="00FF6E45">
        <w:t xml:space="preserve"> </w:t>
      </w:r>
      <w:r w:rsidR="00B106C9">
        <w:t xml:space="preserve">1810 </w:t>
      </w:r>
      <w:r w:rsidR="00FF6E45">
        <w:t>anonymitetsskyddet för en författare.</w:t>
      </w:r>
      <w:r>
        <w:rPr>
          <w:rStyle w:val="Fotnotsreferens"/>
        </w:rPr>
        <w:footnoteReference w:id="4"/>
      </w:r>
      <w:r>
        <w:t xml:space="preserve"> </w:t>
      </w:r>
    </w:p>
    <w:p w14:paraId="56ABCF32" w14:textId="77777777" w:rsidR="00343A39" w:rsidRDefault="00343A39"/>
    <w:p w14:paraId="7960D061" w14:textId="36C6070F" w:rsidR="00343A39" w:rsidRDefault="00343A39">
      <w:r>
        <w:t>Genast frodades p</w:t>
      </w:r>
      <w:r w:rsidR="005D69AC">
        <w:t xml:space="preserve">amflettlitteraturen. </w:t>
      </w:r>
      <w:r w:rsidR="00386CD6">
        <w:t xml:space="preserve">Konstitutionsutskottet och </w:t>
      </w:r>
      <w:r w:rsidR="005D69AC">
        <w:t xml:space="preserve">Leopold ångrade </w:t>
      </w:r>
      <w:r w:rsidR="00386CD6">
        <w:t xml:space="preserve">sig </w:t>
      </w:r>
      <w:r w:rsidR="005D69AC">
        <w:t>snart</w:t>
      </w:r>
      <w:r w:rsidR="00FF6E45">
        <w:t xml:space="preserve">. I ett privatbrev 1812 skrev </w:t>
      </w:r>
      <w:r w:rsidR="00386CD6">
        <w:t>Leopold</w:t>
      </w:r>
      <w:r w:rsidR="00FF6E45">
        <w:t xml:space="preserve"> – med syftning på reglerna om hur man ändrade grundlag</w:t>
      </w:r>
      <w:r w:rsidR="00386CD6">
        <w:t xml:space="preserve"> – </w:t>
      </w:r>
      <w:r w:rsidR="00FF6E45">
        <w:t>att det räckte med 86 § i regeringsformen och ”Allt det andra är, kan och bör intet vara annat än en simpel Police-Stadga, föränderlig efter erfarenhetens lärdomar, utan formaliteten av uppskov till ny riksdag</w:t>
      </w:r>
      <w:r>
        <w:t>”</w:t>
      </w:r>
      <w:r w:rsidR="00FF6E45">
        <w:t>.</w:t>
      </w:r>
      <w:r w:rsidR="00FF6E45">
        <w:rPr>
          <w:rStyle w:val="Fotnotsreferens"/>
        </w:rPr>
        <w:footnoteReference w:id="5"/>
      </w:r>
      <w:r w:rsidR="009F429F">
        <w:t xml:space="preserve"> </w:t>
      </w:r>
    </w:p>
    <w:p w14:paraId="7DE8B9BF" w14:textId="77777777" w:rsidR="00343A39" w:rsidRDefault="00343A39"/>
    <w:p w14:paraId="1B40E191" w14:textId="1000FBEF" w:rsidR="0074588C" w:rsidRDefault="009F429F">
      <w:r>
        <w:t xml:space="preserve">Så </w:t>
      </w:r>
      <w:r w:rsidR="00343A39">
        <w:t xml:space="preserve">blev </w:t>
      </w:r>
      <w:r>
        <w:t>det dock inte.</w:t>
      </w:r>
    </w:p>
    <w:p w14:paraId="2BAFB8F2" w14:textId="77777777" w:rsidR="0074588C" w:rsidRDefault="0074588C"/>
    <w:p w14:paraId="2FE89EE8" w14:textId="633A30B8" w:rsidR="00343A39" w:rsidRDefault="009F429F">
      <w:r>
        <w:lastRenderedPageBreak/>
        <w:t>I 1812 års TF, som ska ses som en ny överarbetad och förändrad version av 1810 års, ändrades reglerna om periodisk skrift. Begreppet definierades (</w:t>
      </w:r>
      <w:r w:rsidR="000F76A7">
        <w:t>en sådan</w:t>
      </w:r>
      <w:r w:rsidR="00B106C9">
        <w:t xml:space="preserve"> skrift</w:t>
      </w:r>
      <w:r w:rsidR="000F76A7">
        <w:t>, som i nummerföljd eller på bestämda tider utgives)</w:t>
      </w:r>
      <w:r>
        <w:t xml:space="preserve">, föreskrifter infördes om tillståndsbevis för utgivning av periodiska skrift, indragningsmakten infördes </w:t>
      </w:r>
      <w:r w:rsidR="000F76A7">
        <w:t xml:space="preserve">(avskaffades </w:t>
      </w:r>
      <w:r w:rsidR="00B106C9">
        <w:t xml:space="preserve">sedan </w:t>
      </w:r>
      <w:r w:rsidR="000F76A7">
        <w:t xml:space="preserve">1844) </w:t>
      </w:r>
      <w:r>
        <w:t xml:space="preserve">och </w:t>
      </w:r>
      <w:r w:rsidR="00343A39">
        <w:t>rutinen</w:t>
      </w:r>
      <w:r>
        <w:t xml:space="preserve"> med namnsedel behölls </w:t>
      </w:r>
      <w:r w:rsidR="0041171A">
        <w:t xml:space="preserve">som </w:t>
      </w:r>
      <w:r w:rsidR="00343A39">
        <w:t xml:space="preserve">i första hand </w:t>
      </w:r>
      <w:r w:rsidR="0041171A">
        <w:t xml:space="preserve">en </w:t>
      </w:r>
      <w:r w:rsidR="00343A39">
        <w:t xml:space="preserve">sorts </w:t>
      </w:r>
      <w:r w:rsidR="0041171A">
        <w:t>ordningsfråga</w:t>
      </w:r>
      <w:r>
        <w:t>.</w:t>
      </w:r>
      <w:r>
        <w:rPr>
          <w:rStyle w:val="Fotnotsreferens"/>
        </w:rPr>
        <w:footnoteReference w:id="6"/>
      </w:r>
      <w:r>
        <w:t xml:space="preserve"> </w:t>
      </w:r>
      <w:r w:rsidR="00B32DF0">
        <w:t xml:space="preserve"> Indragningsmakten sköttes av hovkanslern och under de sista åren av </w:t>
      </w:r>
      <w:proofErr w:type="spellStart"/>
      <w:r w:rsidR="00B32DF0">
        <w:t>justitiestatsministern</w:t>
      </w:r>
      <w:proofErr w:type="spellEnd"/>
      <w:r w:rsidR="00B32DF0">
        <w:t xml:space="preserve"> utan att domstolsprövning kom </w:t>
      </w:r>
      <w:proofErr w:type="gramStart"/>
      <w:r w:rsidR="00B32DF0">
        <w:t>ifråga</w:t>
      </w:r>
      <w:proofErr w:type="gramEnd"/>
      <w:r w:rsidR="00B32DF0">
        <w:t>.</w:t>
      </w:r>
    </w:p>
    <w:p w14:paraId="47D439AD" w14:textId="77777777" w:rsidR="00343A39" w:rsidRDefault="00343A39"/>
    <w:p w14:paraId="2A22B8CE" w14:textId="3D802950" w:rsidR="009F429F" w:rsidRDefault="00B32DF0">
      <w:r>
        <w:t>Straffrättslig a</w:t>
      </w:r>
      <w:r w:rsidR="009F429F">
        <w:t xml:space="preserve">nsvarighet kunde </w:t>
      </w:r>
      <w:r w:rsidR="00343A39">
        <w:t xml:space="preserve">enligt 1812 års TF </w:t>
      </w:r>
      <w:r w:rsidR="009F429F">
        <w:t>bara utkrävas enligt den processordning som uttryckligen fanns stadgad i TF.</w:t>
      </w:r>
      <w:r w:rsidR="000F76A7">
        <w:t xml:space="preserve"> Utgivaren av den periodiska skriften </w:t>
      </w:r>
      <w:r w:rsidR="00343A39">
        <w:t>var</w:t>
      </w:r>
      <w:r w:rsidR="000F76A7">
        <w:t xml:space="preserve"> ansvarig för innehållet i denna. Denna ansvarighet innefatta</w:t>
      </w:r>
      <w:r w:rsidR="00343A39">
        <w:t>de</w:t>
      </w:r>
      <w:r w:rsidR="000F76A7">
        <w:t xml:space="preserve"> författaransvar för allt som influtit i skriften och </w:t>
      </w:r>
      <w:r w:rsidR="00343A39">
        <w:t>utgivaren var</w:t>
      </w:r>
      <w:r w:rsidR="000F76A7">
        <w:t xml:space="preserve"> ensam underkastad detta ansvar utan avseende på vem som författat den i skriften innehållna uppsatsen</w:t>
      </w:r>
      <w:r w:rsidR="0041171A">
        <w:t xml:space="preserve"> liksom allt annat</w:t>
      </w:r>
      <w:r w:rsidR="00343A39">
        <w:t xml:space="preserve"> i skriften</w:t>
      </w:r>
      <w:r w:rsidR="0041171A">
        <w:t xml:space="preserve"> (1 § 7 mom. och 4 § 7 mom. TF).</w:t>
      </w:r>
      <w:r w:rsidR="0041171A">
        <w:rPr>
          <w:rStyle w:val="Fotnotsreferens"/>
        </w:rPr>
        <w:footnoteReference w:id="7"/>
      </w:r>
    </w:p>
    <w:p w14:paraId="3D273D37" w14:textId="77777777" w:rsidR="009F429F" w:rsidRDefault="009F429F"/>
    <w:p w14:paraId="11B5CE5C" w14:textId="77777777" w:rsidR="009F429F" w:rsidRDefault="009F429F"/>
    <w:p w14:paraId="14EB2CA0" w14:textId="18F2C46A" w:rsidR="0074588C" w:rsidRDefault="0041171A">
      <w:r>
        <w:t>---------</w:t>
      </w:r>
    </w:p>
    <w:p w14:paraId="40FF8ED7" w14:textId="77777777" w:rsidR="0041171A" w:rsidRDefault="0041171A"/>
    <w:p w14:paraId="44FA0547" w14:textId="6278617B" w:rsidR="0041171A" w:rsidRDefault="0041171A">
      <w:r>
        <w:t>Sedan 1812 föreligger alltså ensamansvar för tryckfrihetsbrott</w:t>
      </w:r>
      <w:r w:rsidR="00B106C9">
        <w:t xml:space="preserve">, såsom t.ex. för </w:t>
      </w:r>
      <w:r w:rsidR="00B32DF0">
        <w:t xml:space="preserve">smädliga uttryck och </w:t>
      </w:r>
      <w:proofErr w:type="gramStart"/>
      <w:r w:rsidR="00B32DF0">
        <w:t>ärekränkning</w:t>
      </w:r>
      <w:r w:rsidR="00B106C9">
        <w:t xml:space="preserve">, </w:t>
      </w:r>
      <w:r>
        <w:t xml:space="preserve"> för</w:t>
      </w:r>
      <w:proofErr w:type="gramEnd"/>
      <w:r>
        <w:t xml:space="preserve"> utgivaren av en periodisk skrift både om ett författarnamn satts ut </w:t>
      </w:r>
      <w:r w:rsidR="00343A39">
        <w:t xml:space="preserve">till </w:t>
      </w:r>
      <w:r>
        <w:t>en artikel eller om författaren är anonym. Regeln står idag i 7 kap. 1 § TF.</w:t>
      </w:r>
    </w:p>
    <w:p w14:paraId="6873EBEF" w14:textId="77777777" w:rsidR="0041171A" w:rsidRDefault="0041171A"/>
    <w:p w14:paraId="775D0456" w14:textId="3DFA2EB2" w:rsidR="00B32DF0" w:rsidRDefault="0041171A">
      <w:r>
        <w:t xml:space="preserve">Det är väl denna ordning som </w:t>
      </w:r>
      <w:r w:rsidR="00343A39">
        <w:t xml:space="preserve">Tegnér syftar på </w:t>
      </w:r>
      <w:r w:rsidR="001E6FB4">
        <w:t xml:space="preserve">i brevet </w:t>
      </w:r>
      <w:r w:rsidR="00343A39">
        <w:t xml:space="preserve">och som </w:t>
      </w:r>
      <w:r>
        <w:t>kan ge ”pretendenten” (</w:t>
      </w:r>
      <w:r w:rsidR="00343A39">
        <w:t xml:space="preserve">jfr </w:t>
      </w:r>
      <w:r>
        <w:t>SAOB</w:t>
      </w:r>
      <w:r w:rsidR="00B106C9">
        <w:t xml:space="preserve"> om betydelsen</w:t>
      </w:r>
      <w:r w:rsidR="00343A39">
        <w:t>)</w:t>
      </w:r>
      <w:r>
        <w:t xml:space="preserve"> </w:t>
      </w:r>
      <w:r w:rsidR="00343A39">
        <w:t xml:space="preserve">ett rättsligt skydd både som namngiven och som anonym författare i en periodisk skrift som har annan person som utgivare. </w:t>
      </w:r>
    </w:p>
    <w:p w14:paraId="2BDFFA67" w14:textId="77777777" w:rsidR="00B32DF0" w:rsidRDefault="00B32DF0"/>
    <w:p w14:paraId="1D6D7CCD" w14:textId="6B1E1664" w:rsidR="00B32DF0" w:rsidRDefault="00343A39">
      <w:r>
        <w:t>Kanske Tegn</w:t>
      </w:r>
      <w:r w:rsidR="003D2664">
        <w:t>é</w:t>
      </w:r>
      <w:r>
        <w:t xml:space="preserve">r ville vara författare </w:t>
      </w:r>
      <w:r w:rsidR="001E6FB4">
        <w:t xml:space="preserve">och ha rättsskydd </w:t>
      </w:r>
      <w:r>
        <w:t>under Leopolds utgivarskap?</w:t>
      </w:r>
      <w:r w:rsidR="003D2664">
        <w:t xml:space="preserve"> </w:t>
      </w:r>
      <w:r w:rsidR="001E6FB4">
        <w:t>Indragningsmakten hade då bara kunnat drabba Leopold.</w:t>
      </w:r>
    </w:p>
    <w:p w14:paraId="6E159CEB" w14:textId="77777777" w:rsidR="00B32DF0" w:rsidRDefault="00B32DF0"/>
    <w:p w14:paraId="3C9EFCF7" w14:textId="77777777" w:rsidR="00576858" w:rsidRDefault="0081452D">
      <w:r>
        <w:t xml:space="preserve">Det är </w:t>
      </w:r>
      <w:r w:rsidR="001E6FB4">
        <w:t xml:space="preserve">nog </w:t>
      </w:r>
      <w:r w:rsidR="00B32DF0">
        <w:t xml:space="preserve">mot bakgrund </w:t>
      </w:r>
      <w:r w:rsidR="001E6FB4">
        <w:t xml:space="preserve">av regelsystemet innefattande även indragningsmakten </w:t>
      </w:r>
      <w:r w:rsidR="00B32DF0">
        <w:t>som</w:t>
      </w:r>
      <w:r>
        <w:t xml:space="preserve"> Tegnér skriver om ”den lagliga kungamakten” – men han kan möjligen ironiskt, </w:t>
      </w:r>
      <w:r w:rsidR="001E6FB4">
        <w:t xml:space="preserve">också </w:t>
      </w:r>
      <w:r>
        <w:t xml:space="preserve">ha </w:t>
      </w:r>
      <w:r w:rsidR="001E6FB4">
        <w:t xml:space="preserve">inkluderat eller </w:t>
      </w:r>
    </w:p>
    <w:p w14:paraId="616C2682" w14:textId="77777777" w:rsidR="00576858" w:rsidRDefault="00576858"/>
    <w:p w14:paraId="4EE69F5D" w14:textId="3A5B7389" w:rsidR="0041171A" w:rsidRDefault="0081452D">
      <w:r>
        <w:t>syftat på domstolarna, eftersom domstolarna i 1809 års statsskick knappast var tydliggjorda som en egen statsmakt.</w:t>
      </w:r>
    </w:p>
    <w:sectPr w:rsidR="004117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BEF51B" w14:textId="77777777" w:rsidR="00835758" w:rsidRDefault="00835758" w:rsidP="00815AB4">
      <w:r>
        <w:separator/>
      </w:r>
    </w:p>
  </w:endnote>
  <w:endnote w:type="continuationSeparator" w:id="0">
    <w:p w14:paraId="76383BE4" w14:textId="77777777" w:rsidR="00835758" w:rsidRDefault="00835758" w:rsidP="00815A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18464E" w14:textId="77777777" w:rsidR="00835758" w:rsidRDefault="00835758" w:rsidP="00815AB4">
      <w:r>
        <w:separator/>
      </w:r>
    </w:p>
  </w:footnote>
  <w:footnote w:type="continuationSeparator" w:id="0">
    <w:p w14:paraId="0242D58C" w14:textId="77777777" w:rsidR="00835758" w:rsidRDefault="00835758" w:rsidP="00815AB4">
      <w:r>
        <w:continuationSeparator/>
      </w:r>
    </w:p>
  </w:footnote>
  <w:footnote w:id="1">
    <w:p w14:paraId="53086BB2" w14:textId="1BB303D6" w:rsidR="005D69AC" w:rsidRDefault="005D69AC">
      <w:pPr>
        <w:pStyle w:val="Fotnotstext"/>
      </w:pPr>
      <w:r>
        <w:rPr>
          <w:rStyle w:val="Fotnotsreferens"/>
        </w:rPr>
        <w:footnoteRef/>
      </w:r>
      <w:r>
        <w:t xml:space="preserve"> Se om hans roll i Olle Holmbergs arbeten och i Johan Hirschfeldts artikel Den återerövrade tryckfriheten 1809, i </w:t>
      </w:r>
      <w:r w:rsidRPr="00FF6E45">
        <w:rPr>
          <w:i/>
          <w:iCs/>
        </w:rPr>
        <w:t>Maktbalans och kontrollmakt</w:t>
      </w:r>
      <w:r>
        <w:t>, Sveriges riksdag 2009, s. 393 ff. och 398 f.</w:t>
      </w:r>
    </w:p>
  </w:footnote>
  <w:footnote w:id="2">
    <w:p w14:paraId="43C39B8B" w14:textId="420E5756" w:rsidR="00815AB4" w:rsidRDefault="00815AB4">
      <w:pPr>
        <w:pStyle w:val="Fotnotstext"/>
      </w:pPr>
      <w:r>
        <w:rPr>
          <w:rStyle w:val="Fotnotsreferens"/>
        </w:rPr>
        <w:footnoteRef/>
      </w:r>
      <w:r>
        <w:t xml:space="preserve"> Rolf Nygren, TF 1766 i sin historiska och rättsliga kontext, i </w:t>
      </w:r>
      <w:r w:rsidRPr="00815AB4">
        <w:rPr>
          <w:i/>
          <w:iCs/>
        </w:rPr>
        <w:t>Fritt ord 250 år</w:t>
      </w:r>
      <w:r>
        <w:rPr>
          <w:i/>
          <w:iCs/>
        </w:rPr>
        <w:t>,</w:t>
      </w:r>
      <w:r>
        <w:t xml:space="preserve"> Sveriges riksdag 2016, s. 199</w:t>
      </w:r>
    </w:p>
  </w:footnote>
  <w:footnote w:id="3">
    <w:p w14:paraId="7C4F7327" w14:textId="6A3425B6" w:rsidR="00386CD6" w:rsidRPr="00386CD6" w:rsidRDefault="00386CD6">
      <w:pPr>
        <w:pStyle w:val="Fotnotstext"/>
      </w:pPr>
      <w:r>
        <w:rPr>
          <w:rStyle w:val="Fotnotsreferens"/>
        </w:rPr>
        <w:footnoteRef/>
      </w:r>
      <w:r w:rsidRPr="00386CD6">
        <w:t xml:space="preserve"> Herman Ludvig Rydin, </w:t>
      </w:r>
      <w:r w:rsidRPr="00386CD6">
        <w:rPr>
          <w:i/>
          <w:iCs/>
        </w:rPr>
        <w:t>Om Yttrandefrihet och Tryckfrihet</w:t>
      </w:r>
      <w:r>
        <w:t>, Stockholm 1859, s.168 f</w:t>
      </w:r>
      <w:r w:rsidR="00343A39">
        <w:t xml:space="preserve">.  – Rydins bok är fortfarande </w:t>
      </w:r>
      <w:r w:rsidR="00B106C9">
        <w:t xml:space="preserve">att se som </w:t>
      </w:r>
      <w:r w:rsidR="00343A39">
        <w:t>ett ledande arbete i fråga om 1800-talets tryckfrihetsrätt</w:t>
      </w:r>
      <w:r w:rsidR="00B106C9">
        <w:t>.</w:t>
      </w:r>
    </w:p>
  </w:footnote>
  <w:footnote w:id="4">
    <w:p w14:paraId="7CEB4CE8" w14:textId="6D97A8EE" w:rsidR="005D69AC" w:rsidRPr="00B106C9" w:rsidRDefault="005D69AC">
      <w:pPr>
        <w:pStyle w:val="Fotnotstext"/>
      </w:pPr>
      <w:r>
        <w:rPr>
          <w:rStyle w:val="Fotnotsreferens"/>
        </w:rPr>
        <w:footnoteRef/>
      </w:r>
      <w:r w:rsidRPr="00B106C9">
        <w:t xml:space="preserve"> Hirschfeldt, a.a., s. 405</w:t>
      </w:r>
      <w:r w:rsidR="00B106C9" w:rsidRPr="00B106C9">
        <w:t>.</w:t>
      </w:r>
    </w:p>
  </w:footnote>
  <w:footnote w:id="5">
    <w:p w14:paraId="22C2D782" w14:textId="6E38AF4A" w:rsidR="00FF6E45" w:rsidRPr="00FF6E45" w:rsidRDefault="00FF6E45">
      <w:pPr>
        <w:pStyle w:val="Fotnotstext"/>
      </w:pPr>
      <w:r>
        <w:rPr>
          <w:rStyle w:val="Fotnotsreferens"/>
        </w:rPr>
        <w:footnoteRef/>
      </w:r>
      <w:r>
        <w:t xml:space="preserve"> Johan Hirschfeldt, Konstitutionellt yttrandefrihetsskydd i Sverige – konflikter och brytpunkter, i </w:t>
      </w:r>
      <w:r w:rsidRPr="00FF6E45">
        <w:rPr>
          <w:i/>
          <w:iCs/>
        </w:rPr>
        <w:t>Fritt ord</w:t>
      </w:r>
      <w:r>
        <w:rPr>
          <w:i/>
          <w:iCs/>
        </w:rPr>
        <w:t xml:space="preserve"> 250 år,</w:t>
      </w:r>
      <w:r>
        <w:t xml:space="preserve"> a.a. s. 608.</w:t>
      </w:r>
    </w:p>
  </w:footnote>
  <w:footnote w:id="6">
    <w:p w14:paraId="4374335E" w14:textId="63A3F800" w:rsidR="009F429F" w:rsidRDefault="009F429F">
      <w:pPr>
        <w:pStyle w:val="Fotnotstext"/>
      </w:pPr>
      <w:r>
        <w:rPr>
          <w:rStyle w:val="Fotnotsreferens"/>
        </w:rPr>
        <w:footnoteRef/>
      </w:r>
      <w:r>
        <w:t xml:space="preserve"> Rydin, a.a. s. 196 f.</w:t>
      </w:r>
      <w:r w:rsidR="000F76A7">
        <w:t xml:space="preserve"> och 216</w:t>
      </w:r>
      <w:r w:rsidR="00B106C9">
        <w:t xml:space="preserve"> </w:t>
      </w:r>
      <w:proofErr w:type="gramStart"/>
      <w:r w:rsidR="00B106C9">
        <w:t xml:space="preserve">f. </w:t>
      </w:r>
      <w:r w:rsidR="000F76A7">
        <w:t>.</w:t>
      </w:r>
      <w:proofErr w:type="gramEnd"/>
      <w:r w:rsidR="000F76A7">
        <w:t xml:space="preserve"> Rydin kritiserar definitionen av periodisk skrift som alldeles oefterrättlig bl.a. med detta</w:t>
      </w:r>
      <w:r w:rsidR="00B106C9">
        <w:t>, s. 216</w:t>
      </w:r>
      <w:r w:rsidR="000F76A7">
        <w:t xml:space="preserve">: </w:t>
      </w:r>
      <w:r w:rsidR="00B106C9">
        <w:t>”(</w:t>
      </w:r>
      <w:r w:rsidR="000F76A7">
        <w:t>Då</w:t>
      </w:r>
      <w:r w:rsidR="00B106C9">
        <w:t>)</w:t>
      </w:r>
      <w:r w:rsidR="000F76A7">
        <w:t xml:space="preserve"> skulle varje arbete som utg</w:t>
      </w:r>
      <w:r w:rsidR="00B106C9">
        <w:t>ives</w:t>
      </w:r>
      <w:r w:rsidR="000F76A7">
        <w:t xml:space="preserve"> i särskilda delar hänföras till den periodiska pressen, t.ex. Geijers och Tegnérs arbeten</w:t>
      </w:r>
      <w:r w:rsidR="00B106C9">
        <w:t>”</w:t>
      </w:r>
      <w:r w:rsidR="000F76A7">
        <w:t>.</w:t>
      </w:r>
    </w:p>
  </w:footnote>
  <w:footnote w:id="7">
    <w:p w14:paraId="77BEC0B1" w14:textId="43654E50" w:rsidR="0041171A" w:rsidRDefault="0041171A">
      <w:pPr>
        <w:pStyle w:val="Fotnotstext"/>
      </w:pPr>
      <w:r>
        <w:rPr>
          <w:rStyle w:val="Fotnotsreferens"/>
        </w:rPr>
        <w:footnoteRef/>
      </w:r>
      <w:r>
        <w:t xml:space="preserve"> Rydin, a.a. s. 235.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6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588C"/>
    <w:rsid w:val="00072E94"/>
    <w:rsid w:val="000C3EB8"/>
    <w:rsid w:val="000F76A7"/>
    <w:rsid w:val="001E6FB4"/>
    <w:rsid w:val="00280328"/>
    <w:rsid w:val="00343A39"/>
    <w:rsid w:val="00386CD6"/>
    <w:rsid w:val="003B600E"/>
    <w:rsid w:val="003D2664"/>
    <w:rsid w:val="0041171A"/>
    <w:rsid w:val="00470E61"/>
    <w:rsid w:val="00576858"/>
    <w:rsid w:val="005D69AC"/>
    <w:rsid w:val="007100A8"/>
    <w:rsid w:val="0074588C"/>
    <w:rsid w:val="0081452D"/>
    <w:rsid w:val="00815AB4"/>
    <w:rsid w:val="00835758"/>
    <w:rsid w:val="008A6AB8"/>
    <w:rsid w:val="00984DA6"/>
    <w:rsid w:val="00984F1D"/>
    <w:rsid w:val="009F429F"/>
    <w:rsid w:val="00B106C9"/>
    <w:rsid w:val="00B32DF0"/>
    <w:rsid w:val="00B95992"/>
    <w:rsid w:val="00DD15AA"/>
    <w:rsid w:val="00EC6F99"/>
    <w:rsid w:val="00FF6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D72273C"/>
  <w15:chartTrackingRefBased/>
  <w15:docId w15:val="{1F8D2873-919B-B94D-92BB-F761EBD0F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7458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7458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7458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7458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7458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74588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74588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74588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74588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7458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7458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7458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74588C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74588C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74588C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74588C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74588C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74588C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74588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7458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74588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7458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74588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74588C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74588C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74588C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7458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74588C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74588C"/>
    <w:rPr>
      <w:b/>
      <w:bCs/>
      <w:smallCaps/>
      <w:color w:val="0F4761" w:themeColor="accent1" w:themeShade="BF"/>
      <w:spacing w:val="5"/>
    </w:rPr>
  </w:style>
  <w:style w:type="paragraph" w:styleId="Fotnotstext">
    <w:name w:val="footnote text"/>
    <w:basedOn w:val="Normal"/>
    <w:link w:val="FotnotstextChar"/>
    <w:uiPriority w:val="99"/>
    <w:semiHidden/>
    <w:unhideWhenUsed/>
    <w:rsid w:val="00815AB4"/>
    <w:rPr>
      <w:sz w:val="20"/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semiHidden/>
    <w:rsid w:val="00815AB4"/>
    <w:rPr>
      <w:sz w:val="20"/>
      <w:szCs w:val="20"/>
    </w:rPr>
  </w:style>
  <w:style w:type="character" w:styleId="Fotnotsreferens">
    <w:name w:val="footnote reference"/>
    <w:basedOn w:val="Standardstycketeckensnitt"/>
    <w:uiPriority w:val="99"/>
    <w:semiHidden/>
    <w:unhideWhenUsed/>
    <w:rsid w:val="00815AB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624</Words>
  <Characters>3311</Characters>
  <Application>Microsoft Office Word</Application>
  <DocSecurity>0</DocSecurity>
  <Lines>27</Lines>
  <Paragraphs>7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 Hirschfeldt</dc:creator>
  <cp:keywords/>
  <dc:description/>
  <cp:lastModifiedBy>Johan Hirschfeldt</cp:lastModifiedBy>
  <cp:revision>2</cp:revision>
  <dcterms:created xsi:type="dcterms:W3CDTF">2024-03-14T14:24:00Z</dcterms:created>
  <dcterms:modified xsi:type="dcterms:W3CDTF">2024-03-14T14:24:00Z</dcterms:modified>
</cp:coreProperties>
</file>